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8EC20" w14:textId="77777777" w:rsidR="00B218E9" w:rsidRPr="00B218E9" w:rsidRDefault="00B218E9" w:rsidP="00B218E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  <w:lang w:val="de-DE"/>
        </w:rPr>
      </w:pPr>
      <w:bookmarkStart w:id="0" w:name="_GoBack"/>
      <w:bookmarkEnd w:id="0"/>
      <w:r w:rsidRPr="00B218E9">
        <w:rPr>
          <w:rFonts w:ascii="Arial" w:eastAsia="MS Mincho" w:hAnsi="Arial" w:cs="Times New Roman"/>
          <w:b/>
          <w:sz w:val="20"/>
          <w:szCs w:val="24"/>
          <w:lang w:val="de-DE"/>
        </w:rPr>
        <w:t>3GPP TSG-RAN WG1#9</w:t>
      </w:r>
      <w:r w:rsidR="007466AF">
        <w:rPr>
          <w:rFonts w:ascii="Arial" w:eastAsia="MS Mincho" w:hAnsi="Arial" w:cs="Times New Roman"/>
          <w:b/>
          <w:sz w:val="20"/>
          <w:szCs w:val="24"/>
          <w:lang w:val="de-DE"/>
        </w:rPr>
        <w:t>9</w:t>
      </w:r>
      <w:r w:rsidRPr="00B218E9">
        <w:rPr>
          <w:rFonts w:ascii="Arial" w:eastAsia="MS Mincho" w:hAnsi="Arial" w:cs="Times New Roman"/>
          <w:b/>
          <w:sz w:val="20"/>
          <w:szCs w:val="24"/>
          <w:lang w:val="de-DE"/>
        </w:rPr>
        <w:tab/>
      </w:r>
      <w:r w:rsidRPr="00B218E9">
        <w:rPr>
          <w:rFonts w:ascii="Arial" w:eastAsia="MS Mincho" w:hAnsi="Arial" w:cs="Times New Roman"/>
          <w:b/>
          <w:sz w:val="20"/>
          <w:szCs w:val="24"/>
          <w:lang w:val="de-DE"/>
        </w:rPr>
        <w:tab/>
        <w:t>R1-191</w:t>
      </w:r>
      <w:r w:rsidR="007466AF">
        <w:rPr>
          <w:rFonts w:ascii="Arial" w:eastAsia="MS Mincho" w:hAnsi="Arial" w:cs="Times New Roman"/>
          <w:b/>
          <w:sz w:val="20"/>
          <w:szCs w:val="24"/>
          <w:lang w:val="de-DE"/>
        </w:rPr>
        <w:t>2787</w:t>
      </w:r>
    </w:p>
    <w:p w14:paraId="7E775758" w14:textId="77777777" w:rsidR="00B218E9" w:rsidRPr="00B218E9" w:rsidRDefault="007466AF" w:rsidP="00B218E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  <w:lang w:val="de-DE"/>
        </w:rPr>
      </w:pPr>
      <w:r>
        <w:rPr>
          <w:rFonts w:ascii="Arial" w:eastAsia="MS Mincho" w:hAnsi="Arial" w:cs="Times New Roman"/>
          <w:b/>
          <w:sz w:val="20"/>
          <w:szCs w:val="24"/>
          <w:lang w:val="de-DE"/>
        </w:rPr>
        <w:t>Reno, Nov</w:t>
      </w:r>
      <w:r w:rsidR="00B218E9" w:rsidRPr="00B218E9">
        <w:rPr>
          <w:rFonts w:ascii="Arial" w:eastAsia="MS Mincho" w:hAnsi="Arial" w:cs="Times New Roman"/>
          <w:b/>
          <w:sz w:val="20"/>
          <w:szCs w:val="24"/>
          <w:lang w:val="de-DE"/>
        </w:rPr>
        <w:t xml:space="preserve"> </w:t>
      </w:r>
      <w:r>
        <w:rPr>
          <w:rFonts w:ascii="Arial" w:eastAsia="MS Mincho" w:hAnsi="Arial" w:cs="Times New Roman"/>
          <w:b/>
          <w:sz w:val="20"/>
          <w:szCs w:val="24"/>
          <w:lang w:val="de-DE"/>
        </w:rPr>
        <w:t>18-22</w:t>
      </w:r>
      <w:r w:rsidR="00B218E9" w:rsidRPr="00B218E9">
        <w:rPr>
          <w:rFonts w:ascii="Arial" w:eastAsia="MS Mincho" w:hAnsi="Arial" w:cs="Times New Roman"/>
          <w:b/>
          <w:sz w:val="20"/>
          <w:szCs w:val="24"/>
          <w:lang w:val="de-DE"/>
        </w:rPr>
        <w:t>, 2019</w:t>
      </w:r>
    </w:p>
    <w:p w14:paraId="435ED55D" w14:textId="77777777" w:rsidR="00B218E9" w:rsidRPr="00B218E9" w:rsidRDefault="00B218E9" w:rsidP="00B218E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</w:rPr>
      </w:pPr>
    </w:p>
    <w:p w14:paraId="282C1725" w14:textId="77777777" w:rsidR="00B218E9" w:rsidRPr="00B218E9" w:rsidRDefault="00B218E9" w:rsidP="00B218E9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MS Mincho" w:hAnsi="Arial" w:cs="Times New Roman"/>
          <w:b/>
          <w:sz w:val="20"/>
          <w:szCs w:val="24"/>
        </w:rPr>
      </w:pPr>
      <w:r w:rsidRPr="00B218E9">
        <w:rPr>
          <w:rFonts w:ascii="Arial" w:eastAsia="MS Mincho" w:hAnsi="Arial" w:cs="Times New Roman"/>
          <w:b/>
          <w:sz w:val="20"/>
          <w:szCs w:val="24"/>
        </w:rPr>
        <w:t>Source:</w:t>
      </w:r>
      <w:r w:rsidRPr="00B218E9">
        <w:rPr>
          <w:rFonts w:ascii="Arial" w:eastAsia="MS Mincho" w:hAnsi="Arial" w:cs="Times New Roman"/>
          <w:b/>
          <w:sz w:val="20"/>
          <w:szCs w:val="24"/>
        </w:rPr>
        <w:tab/>
        <w:t>Ericsson</w:t>
      </w:r>
    </w:p>
    <w:p w14:paraId="3E80AF6C" w14:textId="77777777" w:rsidR="00B218E9" w:rsidRPr="00B218E9" w:rsidRDefault="00B218E9" w:rsidP="00B218E9">
      <w:pPr>
        <w:tabs>
          <w:tab w:val="left" w:pos="1800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</w:rPr>
      </w:pPr>
      <w:r w:rsidRPr="00B218E9">
        <w:rPr>
          <w:rFonts w:ascii="Arial" w:eastAsia="MS Mincho" w:hAnsi="Arial" w:cs="Times New Roman"/>
          <w:b/>
          <w:sz w:val="20"/>
          <w:szCs w:val="24"/>
        </w:rPr>
        <w:t>Title:</w:t>
      </w:r>
      <w:bookmarkStart w:id="1" w:name="Title"/>
      <w:bookmarkEnd w:id="1"/>
      <w:r w:rsidRPr="00B218E9">
        <w:rPr>
          <w:rFonts w:ascii="Arial" w:eastAsia="MS Mincho" w:hAnsi="Arial" w:cs="Times New Roman"/>
          <w:b/>
          <w:sz w:val="20"/>
          <w:szCs w:val="24"/>
        </w:rPr>
        <w:tab/>
        <w:t>Inter-band CA with unaligned frame boundary</w:t>
      </w:r>
    </w:p>
    <w:p w14:paraId="69D698ED" w14:textId="77777777" w:rsidR="00B218E9" w:rsidRPr="00B218E9" w:rsidRDefault="00B218E9" w:rsidP="00B218E9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</w:rPr>
      </w:pPr>
      <w:r w:rsidRPr="00B218E9">
        <w:rPr>
          <w:rFonts w:ascii="Arial" w:eastAsia="MS Mincho" w:hAnsi="Arial" w:cs="Times New Roman"/>
          <w:b/>
          <w:sz w:val="20"/>
          <w:szCs w:val="24"/>
        </w:rPr>
        <w:t>Agenda Item:</w:t>
      </w:r>
      <w:bookmarkStart w:id="2" w:name="Source"/>
      <w:bookmarkEnd w:id="2"/>
      <w:r w:rsidRPr="00B218E9">
        <w:rPr>
          <w:rFonts w:ascii="Arial" w:eastAsia="MS Mincho" w:hAnsi="Arial" w:cs="Times New Roman"/>
          <w:b/>
          <w:sz w:val="20"/>
          <w:szCs w:val="24"/>
        </w:rPr>
        <w:tab/>
        <w:t>7.2.13.5</w:t>
      </w:r>
    </w:p>
    <w:p w14:paraId="68B59C01" w14:textId="77777777" w:rsidR="00B218E9" w:rsidRPr="00B218E9" w:rsidRDefault="00B218E9" w:rsidP="00B218E9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</w:rPr>
      </w:pPr>
      <w:r w:rsidRPr="00B218E9">
        <w:rPr>
          <w:rFonts w:ascii="Arial" w:eastAsia="MS Mincho" w:hAnsi="Arial" w:cs="Times New Roman"/>
          <w:b/>
          <w:sz w:val="20"/>
          <w:szCs w:val="24"/>
        </w:rPr>
        <w:t>Document for:</w:t>
      </w:r>
      <w:r w:rsidRPr="00B218E9">
        <w:rPr>
          <w:rFonts w:ascii="Arial" w:eastAsia="MS Mincho" w:hAnsi="Arial" w:cs="Times New Roman"/>
          <w:b/>
          <w:sz w:val="20"/>
          <w:szCs w:val="24"/>
        </w:rPr>
        <w:tab/>
      </w:r>
      <w:bookmarkStart w:id="3" w:name="DocumentFor"/>
      <w:bookmarkEnd w:id="3"/>
      <w:r w:rsidRPr="00B218E9">
        <w:rPr>
          <w:rFonts w:ascii="Arial" w:eastAsia="MS Mincho" w:hAnsi="Arial" w:cs="Times New Roman"/>
          <w:b/>
          <w:sz w:val="20"/>
          <w:szCs w:val="24"/>
        </w:rPr>
        <w:t>Discussion and Decision</w:t>
      </w:r>
    </w:p>
    <w:p w14:paraId="1A2EBF63" w14:textId="77777777" w:rsidR="00B218E9" w:rsidRPr="00B218E9" w:rsidRDefault="00B218E9" w:rsidP="00B218E9">
      <w:pPr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70F775" w14:textId="77777777" w:rsidR="00B218E9" w:rsidRPr="00B218E9" w:rsidRDefault="00B218E9" w:rsidP="00B218E9">
      <w:pPr>
        <w:keepNext/>
        <w:tabs>
          <w:tab w:val="left" w:pos="1134"/>
        </w:tabs>
        <w:spacing w:before="180" w:after="60" w:line="240" w:lineRule="auto"/>
        <w:ind w:left="562" w:hanging="562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B218E9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</w:p>
    <w:p w14:paraId="1ED209B7" w14:textId="57EDDECC" w:rsidR="00B218E9" w:rsidRPr="00B218E9" w:rsidRDefault="00E0067F" w:rsidP="00B218E9">
      <w:pPr>
        <w:spacing w:after="12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val="en-AU"/>
        </w:rPr>
      </w:pPr>
      <w:bookmarkStart w:id="4" w:name="_Ref178064866"/>
      <w:r>
        <w:rPr>
          <w:rFonts w:ascii="Times New Roman" w:eastAsia="MS Mincho" w:hAnsi="Times New Roman" w:cs="Times New Roman"/>
          <w:sz w:val="20"/>
          <w:szCs w:val="24"/>
          <w:lang w:val="en-AU"/>
        </w:rPr>
        <w:t xml:space="preserve">In this </w:t>
      </w:r>
      <w:r w:rsidR="00423E7B">
        <w:rPr>
          <w:rFonts w:ascii="Times New Roman" w:eastAsia="MS Mincho" w:hAnsi="Times New Roman" w:cs="Times New Roman"/>
          <w:sz w:val="20"/>
          <w:szCs w:val="24"/>
          <w:lang w:val="en-AU"/>
        </w:rPr>
        <w:t>document, we discuss remaining aspects of inter-band CA with unaligned frame boundary.</w:t>
      </w:r>
    </w:p>
    <w:bookmarkEnd w:id="4"/>
    <w:p w14:paraId="3CB65A1A" w14:textId="77777777" w:rsidR="00B218E9" w:rsidRPr="00B218E9" w:rsidRDefault="00B218E9" w:rsidP="00B218E9">
      <w:pPr>
        <w:keepNext/>
        <w:tabs>
          <w:tab w:val="left" w:pos="1134"/>
        </w:tabs>
        <w:spacing w:before="240" w:after="60" w:line="240" w:lineRule="auto"/>
        <w:ind w:left="567" w:hanging="567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B218E9">
        <w:rPr>
          <w:rFonts w:ascii="Helvetica" w:eastAsia="MS Mincho" w:hAnsi="Helvetica" w:cs="Arial"/>
          <w:b/>
          <w:bCs/>
          <w:kern w:val="32"/>
          <w:sz w:val="28"/>
          <w:szCs w:val="32"/>
        </w:rPr>
        <w:t>Discussion</w:t>
      </w:r>
    </w:p>
    <w:p w14:paraId="5ACF3ADC" w14:textId="77777777" w:rsidR="007F0C51" w:rsidRDefault="007F0C51" w:rsidP="00B21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B11E8B4" w14:textId="27D571DB" w:rsidR="00306465" w:rsidRDefault="00EE7BE9" w:rsidP="00B21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The following agreements and working assumption were made in RAN1#98bis and email discussion (</w:t>
      </w:r>
      <w:r w:rsidRPr="007F0C51">
        <w:rPr>
          <w:rFonts w:ascii="Times New Roman" w:eastAsia="Times New Roman" w:hAnsi="Times New Roman" w:cs="Times New Roman"/>
          <w:sz w:val="20"/>
          <w:szCs w:val="24"/>
        </w:rPr>
        <w:t>[98b-NR-25]</w:t>
      </w:r>
      <w:r>
        <w:rPr>
          <w:rFonts w:ascii="Times New Roman" w:eastAsia="Times New Roman" w:hAnsi="Times New Roman" w:cs="Times New Roman"/>
          <w:sz w:val="20"/>
          <w:szCs w:val="24"/>
        </w:rPr>
        <w:t>)</w:t>
      </w:r>
    </w:p>
    <w:p w14:paraId="591938FA" w14:textId="77777777" w:rsidR="00306465" w:rsidRDefault="00306465" w:rsidP="00B21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7ABA4C4" w14:textId="77777777" w:rsidR="00306465" w:rsidRDefault="00306465" w:rsidP="00B21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306465">
        <w:rPr>
          <w:noProof/>
        </w:rPr>
        <w:drawing>
          <wp:inline distT="0" distB="0" distL="0" distR="0" wp14:anchorId="337E56D8" wp14:editId="10D65904">
            <wp:extent cx="4498848" cy="32369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848" cy="32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A3C41" w14:textId="77777777" w:rsidR="007F0C51" w:rsidRDefault="007F0C51" w:rsidP="00B21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4C16445B" w14:textId="77777777" w:rsidR="005E0E19" w:rsidRPr="005E0E19" w:rsidRDefault="005E0E19" w:rsidP="005E0E19">
      <w:p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5E0E19">
        <w:rPr>
          <w:rFonts w:ascii="Times New Roman" w:eastAsia="Gulim" w:hAnsi="Times New Roman" w:cs="Times New Roman"/>
          <w:sz w:val="20"/>
          <w:szCs w:val="20"/>
          <w:highlight w:val="darkYellow"/>
          <w:lang w:eastAsia="ko-KR"/>
        </w:rPr>
        <w:t>Working assumption:</w:t>
      </w:r>
    </w:p>
    <w:p w14:paraId="0D49407C" w14:textId="77777777" w:rsidR="005E0E19" w:rsidRPr="005E0E19" w:rsidRDefault="005E0E19" w:rsidP="005E0E19">
      <w:pPr>
        <w:numPr>
          <w:ilvl w:val="0"/>
          <w:numId w:val="5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5E0E19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Confirm Alt 1 as the slot granularity for offset indication </w:t>
      </w:r>
    </w:p>
    <w:p w14:paraId="4E3B9E54" w14:textId="77777777" w:rsidR="005E0E19" w:rsidRPr="008951CE" w:rsidRDefault="005E0E19" w:rsidP="005E0E19">
      <w:pPr>
        <w:numPr>
          <w:ilvl w:val="1"/>
          <w:numId w:val="6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Single value representing slot offset with slot granularity is indicated by RRC parameter  for a given 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Scell</w:t>
      </w:r>
      <w:proofErr w:type="spellEnd"/>
    </w:p>
    <w:p w14:paraId="6035C8B7" w14:textId="77777777" w:rsidR="005E0E19" w:rsidRPr="008951CE" w:rsidRDefault="005E0E19" w:rsidP="005E0E19">
      <w:pPr>
        <w:numPr>
          <w:ilvl w:val="1"/>
          <w:numId w:val="6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For slot offset </w:t>
      </w:r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N</w:t>
      </w: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, the beginning of slot #0 of the CC with lower SCS (or 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PCell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/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PScell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for equal SCS) coincides with slot #(</w:t>
      </w:r>
      <w:proofErr w:type="spellStart"/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qN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mod </w:t>
      </w:r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M</w:t>
      </w: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) of the CC with higher SCS (or 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SCell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for equal SCS) </w:t>
      </w:r>
    </w:p>
    <w:p w14:paraId="0A620A45" w14:textId="77777777" w:rsidR="005E0E19" w:rsidRPr="008951CE" w:rsidRDefault="005E0E19" w:rsidP="005E0E19">
      <w:pPr>
        <w:numPr>
          <w:ilvl w:val="2"/>
          <w:numId w:val="7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Where </w:t>
      </w:r>
    </w:p>
    <w:p w14:paraId="6E30C138" w14:textId="362A4E29" w:rsidR="005E0E19" w:rsidRPr="008951CE" w:rsidRDefault="005E0E19" w:rsidP="005E0E19">
      <w:pPr>
        <w:numPr>
          <w:ilvl w:val="3"/>
          <w:numId w:val="8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bookmarkStart w:id="5" w:name="_Hlk24113995"/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q</w:t>
      </w: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= -1, if SCS of 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PCell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/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PScell</w:t>
      </w:r>
      <w:proofErr w:type="spellEnd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is smaller than or equal to SCS of </w:t>
      </w:r>
      <w:proofErr w:type="spellStart"/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>SCell</w:t>
      </w:r>
      <w:proofErr w:type="spellEnd"/>
    </w:p>
    <w:bookmarkEnd w:id="5"/>
    <w:p w14:paraId="5F717E79" w14:textId="77777777" w:rsidR="005E0E19" w:rsidRPr="008951CE" w:rsidRDefault="005E0E19" w:rsidP="005E0E19">
      <w:pPr>
        <w:numPr>
          <w:ilvl w:val="3"/>
          <w:numId w:val="8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q</w:t>
      </w: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= 1, otherwise</w:t>
      </w:r>
    </w:p>
    <w:p w14:paraId="200DCEFC" w14:textId="77777777" w:rsidR="005E0E19" w:rsidRPr="008951CE" w:rsidRDefault="005E0E19" w:rsidP="005E0E19">
      <w:pPr>
        <w:numPr>
          <w:ilvl w:val="2"/>
          <w:numId w:val="9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  <w:lang w:eastAsia="ko-KR"/>
        </w:rPr>
      </w:pPr>
      <w:r w:rsidRPr="008951CE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M</w:t>
      </w:r>
      <w:r w:rsidRPr="008951CE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is the number of slots per frame in the CC with higher SCS</w:t>
      </w:r>
    </w:p>
    <w:p w14:paraId="4CCA6A05" w14:textId="77777777" w:rsidR="005E0E19" w:rsidRPr="008951CE" w:rsidRDefault="005E0E19" w:rsidP="005E0E19">
      <w:pPr>
        <w:numPr>
          <w:ilvl w:val="1"/>
          <w:numId w:val="9"/>
        </w:numPr>
        <w:spacing w:after="0" w:line="240" w:lineRule="auto"/>
        <w:rPr>
          <w:rFonts w:ascii="Times New Roman" w:eastAsia="Gulim" w:hAnsi="Times New Roman" w:cs="Times New Roman"/>
          <w:sz w:val="20"/>
          <w:szCs w:val="20"/>
        </w:rPr>
      </w:pPr>
      <w:r w:rsidRPr="008951CE">
        <w:rPr>
          <w:rFonts w:ascii="Times New Roman" w:eastAsia="Gulim" w:hAnsi="Times New Roman" w:cs="Times New Roman"/>
          <w:sz w:val="20"/>
          <w:szCs w:val="20"/>
        </w:rPr>
        <w:t>Note: Other simple description is not precluded as long as it is aligned with above principle.</w:t>
      </w:r>
    </w:p>
    <w:p w14:paraId="0C521ECE" w14:textId="77777777" w:rsidR="00B218E9" w:rsidRDefault="00B218E9" w:rsidP="00B2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45748845" w14:textId="386E8B34" w:rsidR="00306465" w:rsidRDefault="00306465" w:rsidP="00B2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Firstly, we note that the value of q needs some clarification. When the </w:t>
      </w:r>
      <w:proofErr w:type="spellStart"/>
      <w:r>
        <w:rPr>
          <w:rFonts w:ascii="Times New Roman" w:eastAsia="Times New Roman" w:hAnsi="Times New Roman" w:cs="Times New Roman"/>
          <w:sz w:val="20"/>
          <w:szCs w:val="24"/>
        </w:rPr>
        <w:t>PCell</w:t>
      </w:r>
      <w:proofErr w:type="spellEnd"/>
      <w:r>
        <w:rPr>
          <w:rFonts w:ascii="Times New Roman" w:eastAsia="Times New Roman" w:hAnsi="Times New Roman" w:cs="Times New Roman"/>
          <w:sz w:val="20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4"/>
        </w:rPr>
        <w:t>PScell</w:t>
      </w:r>
      <w:proofErr w:type="spellEnd"/>
      <w:r>
        <w:rPr>
          <w:rFonts w:ascii="Times New Roman" w:eastAsia="Times New Roman" w:hAnsi="Times New Roman" w:cs="Times New Roman"/>
          <w:sz w:val="20"/>
          <w:szCs w:val="24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0"/>
          <w:szCs w:val="24"/>
        </w:rPr>
        <w:t>Scell</w:t>
      </w:r>
      <w:proofErr w:type="spellEnd"/>
      <w:r>
        <w:rPr>
          <w:rFonts w:ascii="Times New Roman" w:eastAsia="Times New Roman" w:hAnsi="Times New Roman" w:cs="Times New Roman"/>
          <w:sz w:val="20"/>
          <w:szCs w:val="24"/>
        </w:rPr>
        <w:t xml:space="preserve"> has BWPs with different numerologie</w:t>
      </w:r>
      <w:r w:rsidR="00423E7B">
        <w:rPr>
          <w:rFonts w:ascii="Times New Roman" w:eastAsia="Times New Roman" w:hAnsi="Times New Roman" w:cs="Times New Roman"/>
          <w:sz w:val="20"/>
          <w:szCs w:val="24"/>
        </w:rPr>
        <w:t>s as in following example:</w:t>
      </w:r>
    </w:p>
    <w:p w14:paraId="229CAB31" w14:textId="77777777" w:rsidR="00306465" w:rsidRDefault="00306465" w:rsidP="00306465">
      <w:pPr>
        <w:pStyle w:val="ListParagraph"/>
        <w:numPr>
          <w:ilvl w:val="0"/>
          <w:numId w:val="11"/>
        </w:numPr>
        <w:jc w:val="both"/>
      </w:pPr>
      <w:proofErr w:type="spellStart"/>
      <w:r w:rsidRPr="00306465">
        <w:t>PCell</w:t>
      </w:r>
      <w:proofErr w:type="spellEnd"/>
      <w:r w:rsidRPr="00306465">
        <w:t xml:space="preserve"> has </w:t>
      </w:r>
      <w:r>
        <w:t xml:space="preserve">two BWPs  - one with </w:t>
      </w:r>
      <w:r w:rsidRPr="00306465">
        <w:t xml:space="preserve">15 </w:t>
      </w:r>
      <w:proofErr w:type="spellStart"/>
      <w:r w:rsidRPr="00306465">
        <w:t>KHz</w:t>
      </w:r>
      <w:proofErr w:type="spellEnd"/>
      <w:r w:rsidRPr="00306465">
        <w:t xml:space="preserve"> SCS and </w:t>
      </w:r>
      <w:r>
        <w:t>another</w:t>
      </w:r>
      <w:r w:rsidRPr="00306465">
        <w:t xml:space="preserve"> with 30 kHz SCS</w:t>
      </w:r>
    </w:p>
    <w:p w14:paraId="6F602E65" w14:textId="77777777" w:rsidR="00313A1D" w:rsidRDefault="00306465" w:rsidP="00313A1D">
      <w:pPr>
        <w:pStyle w:val="ListParagraph"/>
        <w:numPr>
          <w:ilvl w:val="0"/>
          <w:numId w:val="11"/>
        </w:numPr>
        <w:jc w:val="both"/>
      </w:pPr>
      <w:proofErr w:type="spellStart"/>
      <w:r>
        <w:t>S</w:t>
      </w:r>
      <w:r w:rsidRPr="00306465">
        <w:t>Cell</w:t>
      </w:r>
      <w:proofErr w:type="spellEnd"/>
      <w:r w:rsidRPr="00306465">
        <w:t xml:space="preserve"> has </w:t>
      </w:r>
      <w:r>
        <w:t>two BWPs  - both with 30</w:t>
      </w:r>
      <w:r w:rsidRPr="00306465">
        <w:t xml:space="preserve"> </w:t>
      </w:r>
      <w:proofErr w:type="spellStart"/>
      <w:r w:rsidRPr="00306465">
        <w:t>KHz</w:t>
      </w:r>
      <w:proofErr w:type="spellEnd"/>
      <w:r w:rsidRPr="00306465">
        <w:t xml:space="preserve"> SCS </w:t>
      </w:r>
    </w:p>
    <w:p w14:paraId="57E0D05A" w14:textId="77777777" w:rsidR="00313A1D" w:rsidRDefault="00313A1D" w:rsidP="0030646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6A5E9AE" w14:textId="224FF136" w:rsidR="00306465" w:rsidRDefault="00EE7BE9" w:rsidP="0030646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According to the </w:t>
      </w:r>
      <w:r w:rsidR="00306465" w:rsidRPr="00313A1D">
        <w:rPr>
          <w:rFonts w:ascii="Times New Roman" w:hAnsi="Times New Roman" w:cs="Times New Roman"/>
          <w:sz w:val="20"/>
          <w:szCs w:val="20"/>
        </w:rPr>
        <w:t>agreement</w:t>
      </w:r>
      <w:r>
        <w:rPr>
          <w:rFonts w:ascii="Times New Roman" w:hAnsi="Times New Roman" w:cs="Times New Roman"/>
          <w:sz w:val="20"/>
          <w:szCs w:val="20"/>
        </w:rPr>
        <w:t>s,</w:t>
      </w:r>
      <w:r w:rsidR="00306465" w:rsidRPr="00313A1D">
        <w:rPr>
          <w:rFonts w:ascii="Times New Roman" w:hAnsi="Times New Roman" w:cs="Times New Roman"/>
          <w:sz w:val="20"/>
          <w:szCs w:val="20"/>
        </w:rPr>
        <w:t xml:space="preserve"> the slot granularity is defined </w:t>
      </w:r>
      <w:proofErr w:type="spellStart"/>
      <w:r w:rsidR="00306465" w:rsidRPr="00313A1D">
        <w:rPr>
          <w:rFonts w:ascii="Times New Roman" w:hAnsi="Times New Roman" w:cs="Times New Roman"/>
          <w:sz w:val="20"/>
          <w:szCs w:val="20"/>
        </w:rPr>
        <w:t>wrt</w:t>
      </w:r>
      <w:proofErr w:type="spellEnd"/>
      <w:r w:rsidR="00306465" w:rsidRPr="00313A1D">
        <w:rPr>
          <w:rFonts w:ascii="Times New Roman" w:hAnsi="Times New Roman" w:cs="Times New Roman"/>
          <w:sz w:val="20"/>
          <w:szCs w:val="20"/>
        </w:rPr>
        <w:t xml:space="preserve"> </w:t>
      </w:r>
      <w:r w:rsidR="00313A1D" w:rsidRPr="00313A1D">
        <w:rPr>
          <w:rFonts w:ascii="Times New Roman" w:hAnsi="Times New Roman" w:cs="Times New Roman"/>
          <w:sz w:val="20"/>
          <w:szCs w:val="20"/>
        </w:rPr>
        <w:t>30 kHz</w:t>
      </w:r>
      <w:r>
        <w:rPr>
          <w:rFonts w:ascii="Times New Roman" w:hAnsi="Times New Roman" w:cs="Times New Roman"/>
          <w:sz w:val="20"/>
          <w:szCs w:val="20"/>
        </w:rPr>
        <w:t xml:space="preserve"> for the above example</w:t>
      </w:r>
      <w:r w:rsidR="00313A1D" w:rsidRPr="00313A1D">
        <w:rPr>
          <w:rFonts w:ascii="Times New Roman" w:hAnsi="Times New Roman" w:cs="Times New Roman"/>
          <w:sz w:val="20"/>
          <w:szCs w:val="20"/>
        </w:rPr>
        <w:t xml:space="preserve">. However, in definition of </w:t>
      </w:r>
      <w:r w:rsidR="00313A1D" w:rsidRPr="00313A1D">
        <w:rPr>
          <w:rFonts w:ascii="Times New Roman" w:hAnsi="Times New Roman" w:cs="Times New Roman"/>
          <w:i/>
          <w:sz w:val="20"/>
          <w:szCs w:val="20"/>
        </w:rPr>
        <w:t>q</w:t>
      </w:r>
      <w:r w:rsidR="00313A1D" w:rsidRPr="00313A1D">
        <w:rPr>
          <w:rFonts w:ascii="Times New Roman" w:hAnsi="Times New Roman" w:cs="Times New Roman"/>
          <w:sz w:val="20"/>
          <w:szCs w:val="20"/>
        </w:rPr>
        <w:t xml:space="preserve">, </w:t>
      </w:r>
      <w:r w:rsidR="00313A1D">
        <w:rPr>
          <w:rFonts w:ascii="Times New Roman" w:hAnsi="Times New Roman" w:cs="Times New Roman"/>
          <w:sz w:val="20"/>
          <w:szCs w:val="20"/>
        </w:rPr>
        <w:t>the meaning of SCS in “</w:t>
      </w:r>
      <w:r w:rsidR="00313A1D" w:rsidRPr="005E0E19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 xml:space="preserve">if SCS of </w:t>
      </w:r>
      <w:proofErr w:type="spellStart"/>
      <w:r w:rsidR="00313A1D" w:rsidRPr="005E0E19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>PCell</w:t>
      </w:r>
      <w:proofErr w:type="spellEnd"/>
      <w:r w:rsidR="00313A1D" w:rsidRPr="008951CE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>/</w:t>
      </w:r>
      <w:proofErr w:type="spellStart"/>
      <w:r w:rsidR="00313A1D" w:rsidRPr="008951CE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>PScell</w:t>
      </w:r>
      <w:proofErr w:type="spellEnd"/>
      <w:r w:rsidR="00313A1D" w:rsidRPr="008951CE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 xml:space="preserve"> is </w:t>
      </w:r>
      <w:r w:rsidR="00313A1D" w:rsidRPr="005E0E19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 xml:space="preserve">smaller than or equal to SCS of </w:t>
      </w:r>
      <w:proofErr w:type="spellStart"/>
      <w:r w:rsidR="00313A1D" w:rsidRPr="005E0E19">
        <w:rPr>
          <w:rFonts w:ascii="Times New Roman" w:eastAsia="Gulim" w:hAnsi="Times New Roman" w:cs="Times New Roman"/>
          <w:i/>
          <w:sz w:val="20"/>
          <w:szCs w:val="20"/>
          <w:lang w:eastAsia="ko-KR"/>
        </w:rPr>
        <w:t>SCell</w:t>
      </w:r>
      <w:proofErr w:type="spellEnd"/>
      <w:r w:rsidR="00313A1D">
        <w:rPr>
          <w:rFonts w:ascii="Times New Roman" w:hAnsi="Times New Roman" w:cs="Times New Roman"/>
          <w:sz w:val="20"/>
          <w:szCs w:val="20"/>
        </w:rPr>
        <w:t>” is not clear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13A1D">
        <w:rPr>
          <w:rFonts w:ascii="Times New Roman" w:hAnsi="Times New Roman" w:cs="Times New Roman"/>
          <w:sz w:val="20"/>
          <w:szCs w:val="20"/>
        </w:rPr>
        <w:t>e.g. which BWP is to be used</w:t>
      </w:r>
      <w:r w:rsidR="00346E65">
        <w:rPr>
          <w:rFonts w:ascii="Times New Roman" w:hAnsi="Times New Roman" w:cs="Times New Roman"/>
          <w:sz w:val="20"/>
          <w:szCs w:val="20"/>
        </w:rPr>
        <w:t xml:space="preserve"> in the above example</w:t>
      </w:r>
      <w:r w:rsidR="00313A1D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This needs to be clarified further</w:t>
      </w:r>
      <w:r w:rsidR="00723360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e.g.</w:t>
      </w:r>
      <w:r w:rsidR="00723360">
        <w:rPr>
          <w:rFonts w:ascii="Times New Roman" w:hAnsi="Times New Roman" w:cs="Times New Roman"/>
          <w:sz w:val="20"/>
          <w:szCs w:val="20"/>
        </w:rPr>
        <w:t>,</w:t>
      </w:r>
      <w:r w:rsidR="0086789B">
        <w:rPr>
          <w:rFonts w:ascii="Times New Roman" w:hAnsi="Times New Roman" w:cs="Times New Roman"/>
          <w:sz w:val="20"/>
          <w:szCs w:val="20"/>
        </w:rPr>
        <w:t xml:space="preserve"> by adding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13A1D">
        <w:rPr>
          <w:rFonts w:ascii="Times New Roman" w:hAnsi="Times New Roman" w:cs="Times New Roman"/>
          <w:sz w:val="20"/>
          <w:szCs w:val="20"/>
        </w:rPr>
        <w:t xml:space="preserve">the SCS in comparison are the “lowest SCS among the SCS of all DL/UL BWPs for the CC”. </w:t>
      </w:r>
    </w:p>
    <w:p w14:paraId="0602A203" w14:textId="2A8BBE51" w:rsidR="000A2A1E" w:rsidRDefault="000A2A1E" w:rsidP="0030646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WA states the beginning of slot#0 (of </w:t>
      </w:r>
      <w:proofErr w:type="gramStart"/>
      <w:r>
        <w:rPr>
          <w:rFonts w:ascii="Times New Roman" w:hAnsi="Times New Roman" w:cs="Times New Roman"/>
          <w:sz w:val="20"/>
          <w:szCs w:val="20"/>
        </w:rPr>
        <w:t>…..</w:t>
      </w:r>
      <w:proofErr w:type="gramEnd"/>
      <w:r>
        <w:rPr>
          <w:rFonts w:ascii="Times New Roman" w:hAnsi="Times New Roman" w:cs="Times New Roman"/>
          <w:sz w:val="20"/>
          <w:szCs w:val="20"/>
        </w:rPr>
        <w:t>) coincides with slot #(</w:t>
      </w:r>
      <w:proofErr w:type="spellStart"/>
      <w:r>
        <w:rPr>
          <w:rFonts w:ascii="Times New Roman" w:hAnsi="Times New Roman" w:cs="Times New Roman"/>
          <w:sz w:val="20"/>
          <w:szCs w:val="20"/>
        </w:rPr>
        <w:t>qN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mod M) of (….). It does not say clearly that the </w:t>
      </w:r>
      <w:r w:rsidR="0086789B"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Times New Roman" w:hAnsi="Times New Roman" w:cs="Times New Roman"/>
          <w:sz w:val="20"/>
          <w:szCs w:val="20"/>
        </w:rPr>
        <w:t>coincid</w:t>
      </w:r>
      <w:r w:rsidR="0086789B">
        <w:rPr>
          <w:rFonts w:ascii="Times New Roman" w:hAnsi="Times New Roman" w:cs="Times New Roman"/>
          <w:sz w:val="20"/>
          <w:szCs w:val="20"/>
        </w:rPr>
        <w:t>es’</w:t>
      </w:r>
      <w:r>
        <w:rPr>
          <w:rFonts w:ascii="Times New Roman" w:hAnsi="Times New Roman" w:cs="Times New Roman"/>
          <w:sz w:val="20"/>
          <w:szCs w:val="20"/>
        </w:rPr>
        <w:t xml:space="preserve"> is with the beginning of the slot #(</w:t>
      </w:r>
      <w:proofErr w:type="spellStart"/>
      <w:r>
        <w:rPr>
          <w:rFonts w:ascii="Times New Roman" w:hAnsi="Times New Roman" w:cs="Times New Roman"/>
          <w:sz w:val="20"/>
          <w:szCs w:val="20"/>
        </w:rPr>
        <w:t>qN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mod M). </w:t>
      </w:r>
      <w:r w:rsidR="0086789B">
        <w:rPr>
          <w:rFonts w:ascii="Times New Roman" w:hAnsi="Times New Roman" w:cs="Times New Roman"/>
          <w:sz w:val="20"/>
          <w:szCs w:val="20"/>
        </w:rPr>
        <w:t xml:space="preserve">This </w:t>
      </w:r>
      <w:r>
        <w:rPr>
          <w:rFonts w:ascii="Times New Roman" w:hAnsi="Times New Roman" w:cs="Times New Roman"/>
          <w:sz w:val="20"/>
          <w:szCs w:val="20"/>
        </w:rPr>
        <w:t xml:space="preserve">aspect should also be clarified. </w:t>
      </w:r>
    </w:p>
    <w:p w14:paraId="2E0E12D9" w14:textId="03DF2395" w:rsidR="000A2A1E" w:rsidRPr="000A2A1E" w:rsidRDefault="000A2A1E" w:rsidP="0030646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0A2A1E">
        <w:rPr>
          <w:rFonts w:ascii="Times New Roman" w:hAnsi="Times New Roman" w:cs="Times New Roman"/>
          <w:b/>
          <w:sz w:val="20"/>
          <w:szCs w:val="20"/>
        </w:rPr>
        <w:t xml:space="preserve">Observation 1 : Following </w:t>
      </w:r>
      <w:r>
        <w:rPr>
          <w:rFonts w:ascii="Times New Roman" w:hAnsi="Times New Roman" w:cs="Times New Roman"/>
          <w:b/>
          <w:sz w:val="20"/>
          <w:szCs w:val="20"/>
        </w:rPr>
        <w:t>updates (in red)</w:t>
      </w:r>
      <w:r w:rsidRPr="000A2A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B48CD">
        <w:rPr>
          <w:rFonts w:ascii="Times New Roman" w:hAnsi="Times New Roman" w:cs="Times New Roman"/>
          <w:b/>
          <w:sz w:val="20"/>
          <w:szCs w:val="20"/>
        </w:rPr>
        <w:t>need to be clarified (or added)</w:t>
      </w:r>
      <w:r w:rsidR="00D62B70">
        <w:rPr>
          <w:rFonts w:ascii="Times New Roman" w:hAnsi="Times New Roman" w:cs="Times New Roman"/>
          <w:b/>
          <w:sz w:val="20"/>
          <w:szCs w:val="20"/>
        </w:rPr>
        <w:t xml:space="preserve"> for</w:t>
      </w:r>
      <w:r w:rsidRPr="000A2A1E">
        <w:rPr>
          <w:rFonts w:ascii="Times New Roman" w:hAnsi="Times New Roman" w:cs="Times New Roman"/>
          <w:b/>
          <w:sz w:val="20"/>
          <w:szCs w:val="20"/>
        </w:rPr>
        <w:t xml:space="preserve"> the WA made in the email discussion [98b-NR-25]</w:t>
      </w:r>
    </w:p>
    <w:p w14:paraId="6CF5ECCA" w14:textId="77777777" w:rsidR="001A6616" w:rsidRPr="001A6616" w:rsidRDefault="001A6616" w:rsidP="001A6616">
      <w:pPr>
        <w:pStyle w:val="ListParagraph"/>
        <w:numPr>
          <w:ilvl w:val="0"/>
          <w:numId w:val="12"/>
        </w:numPr>
        <w:rPr>
          <w:b/>
          <w:szCs w:val="20"/>
        </w:rPr>
      </w:pPr>
      <w:r w:rsidRPr="001A6616">
        <w:rPr>
          <w:b/>
          <w:szCs w:val="20"/>
        </w:rPr>
        <w:t xml:space="preserve">For slot offset N, the beginning of slot #0 of the CC with lower SCS (or </w:t>
      </w:r>
      <w:proofErr w:type="spellStart"/>
      <w:r w:rsidRPr="001A6616">
        <w:rPr>
          <w:b/>
          <w:szCs w:val="20"/>
        </w:rPr>
        <w:t>PCell</w:t>
      </w:r>
      <w:proofErr w:type="spellEnd"/>
      <w:r w:rsidRPr="001A6616">
        <w:rPr>
          <w:b/>
          <w:szCs w:val="20"/>
        </w:rPr>
        <w:t>/</w:t>
      </w:r>
      <w:proofErr w:type="spellStart"/>
      <w:r w:rsidRPr="001A6616">
        <w:rPr>
          <w:b/>
          <w:szCs w:val="20"/>
        </w:rPr>
        <w:t>PScell</w:t>
      </w:r>
      <w:proofErr w:type="spellEnd"/>
      <w:r w:rsidRPr="001A6616">
        <w:rPr>
          <w:b/>
          <w:szCs w:val="20"/>
        </w:rPr>
        <w:t xml:space="preserve"> for equal SCS) coincides with </w:t>
      </w:r>
      <w:r w:rsidRPr="001A6616">
        <w:rPr>
          <w:b/>
          <w:color w:val="FF0000"/>
          <w:szCs w:val="20"/>
          <w:u w:val="single"/>
        </w:rPr>
        <w:t xml:space="preserve">the beginning </w:t>
      </w:r>
      <w:r>
        <w:rPr>
          <w:b/>
          <w:color w:val="FF0000"/>
          <w:szCs w:val="20"/>
          <w:u w:val="single"/>
        </w:rPr>
        <w:t xml:space="preserve">of </w:t>
      </w:r>
      <w:r w:rsidRPr="001A6616">
        <w:rPr>
          <w:b/>
          <w:szCs w:val="20"/>
        </w:rPr>
        <w:t>slot #(</w:t>
      </w:r>
      <w:proofErr w:type="spellStart"/>
      <w:r w:rsidRPr="001A6616">
        <w:rPr>
          <w:b/>
          <w:szCs w:val="20"/>
        </w:rPr>
        <w:t>qN</w:t>
      </w:r>
      <w:proofErr w:type="spellEnd"/>
      <w:r w:rsidRPr="001A6616">
        <w:rPr>
          <w:b/>
          <w:szCs w:val="20"/>
        </w:rPr>
        <w:t xml:space="preserve"> mod M) of the CC with higher SCS (or </w:t>
      </w:r>
      <w:proofErr w:type="spellStart"/>
      <w:r w:rsidRPr="001A6616">
        <w:rPr>
          <w:b/>
          <w:szCs w:val="20"/>
        </w:rPr>
        <w:t>SCell</w:t>
      </w:r>
      <w:proofErr w:type="spellEnd"/>
      <w:r w:rsidRPr="001A6616">
        <w:rPr>
          <w:b/>
          <w:szCs w:val="20"/>
        </w:rPr>
        <w:t xml:space="preserve"> for equal SCS) </w:t>
      </w:r>
    </w:p>
    <w:p w14:paraId="3189F90B" w14:textId="77777777" w:rsidR="000A2A1E" w:rsidRDefault="000A2A1E" w:rsidP="000A2A1E">
      <w:pPr>
        <w:pStyle w:val="ListParagraph"/>
        <w:numPr>
          <w:ilvl w:val="0"/>
          <w:numId w:val="12"/>
        </w:numPr>
        <w:rPr>
          <w:b/>
          <w:szCs w:val="20"/>
        </w:rPr>
      </w:pPr>
      <w:r w:rsidRPr="000A2A1E">
        <w:rPr>
          <w:b/>
          <w:szCs w:val="20"/>
        </w:rPr>
        <w:t xml:space="preserve">q = -1, if </w:t>
      </w:r>
      <w:r w:rsidRPr="000A2A1E">
        <w:rPr>
          <w:b/>
          <w:color w:val="FF0000"/>
          <w:szCs w:val="20"/>
          <w:u w:val="single"/>
        </w:rPr>
        <w:t>lowest</w:t>
      </w:r>
      <w:r w:rsidRPr="000A2A1E">
        <w:rPr>
          <w:b/>
          <w:color w:val="FF0000"/>
          <w:szCs w:val="20"/>
        </w:rPr>
        <w:t xml:space="preserve"> </w:t>
      </w:r>
      <w:r w:rsidRPr="000A2A1E">
        <w:rPr>
          <w:b/>
          <w:szCs w:val="20"/>
        </w:rPr>
        <w:t xml:space="preserve">SCS of </w:t>
      </w:r>
      <w:proofErr w:type="spellStart"/>
      <w:r w:rsidRPr="000A2A1E">
        <w:rPr>
          <w:b/>
          <w:szCs w:val="20"/>
        </w:rPr>
        <w:t>PCell</w:t>
      </w:r>
      <w:proofErr w:type="spellEnd"/>
      <w:r w:rsidRPr="000A2A1E">
        <w:rPr>
          <w:b/>
          <w:szCs w:val="20"/>
        </w:rPr>
        <w:t>/</w:t>
      </w:r>
      <w:proofErr w:type="spellStart"/>
      <w:r w:rsidRPr="000A2A1E">
        <w:rPr>
          <w:b/>
          <w:szCs w:val="20"/>
        </w:rPr>
        <w:t>PScell</w:t>
      </w:r>
      <w:proofErr w:type="spellEnd"/>
      <w:r w:rsidRPr="000A2A1E">
        <w:rPr>
          <w:b/>
          <w:szCs w:val="20"/>
        </w:rPr>
        <w:t xml:space="preserve"> is smaller than or equal to </w:t>
      </w:r>
      <w:r w:rsidRPr="000A2A1E">
        <w:rPr>
          <w:b/>
          <w:color w:val="FF0000"/>
          <w:szCs w:val="20"/>
          <w:u w:val="single"/>
        </w:rPr>
        <w:t>lowest</w:t>
      </w:r>
      <w:r w:rsidRPr="000A2A1E">
        <w:rPr>
          <w:b/>
          <w:color w:val="FF0000"/>
          <w:szCs w:val="20"/>
        </w:rPr>
        <w:t xml:space="preserve"> </w:t>
      </w:r>
      <w:r w:rsidRPr="000A2A1E">
        <w:rPr>
          <w:b/>
          <w:szCs w:val="20"/>
        </w:rPr>
        <w:t xml:space="preserve">SCS of </w:t>
      </w:r>
      <w:proofErr w:type="spellStart"/>
      <w:r w:rsidRPr="000A2A1E">
        <w:rPr>
          <w:b/>
          <w:szCs w:val="20"/>
        </w:rPr>
        <w:t>SCell</w:t>
      </w:r>
      <w:proofErr w:type="spellEnd"/>
    </w:p>
    <w:p w14:paraId="6ABC4361" w14:textId="403A0752" w:rsidR="00433E5A" w:rsidRDefault="00433E5A" w:rsidP="001A66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5A6169B" w14:textId="75CBC5D5" w:rsidR="00051896" w:rsidRDefault="00051896" w:rsidP="001A661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scheduling timing is defined in </w:t>
      </w:r>
      <w:r w:rsidR="00433E5A">
        <w:rPr>
          <w:rFonts w:ascii="Times New Roman" w:hAnsi="Times New Roman" w:cs="Times New Roman"/>
          <w:sz w:val="20"/>
          <w:szCs w:val="20"/>
        </w:rPr>
        <w:t>38.214 for K0 and K2 (i.e. PDCCH to PDSCH and PDCCH to PUSCH scheduling)</w:t>
      </w:r>
      <w:r w:rsidR="00814D4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the scheduling timing is </w:t>
      </w:r>
      <w:r w:rsidR="004B48CD">
        <w:rPr>
          <w:rFonts w:ascii="Times New Roman" w:hAnsi="Times New Roman" w:cs="Times New Roman"/>
          <w:sz w:val="20"/>
          <w:szCs w:val="20"/>
        </w:rPr>
        <w:t>in 3</w:t>
      </w:r>
      <w:r w:rsidR="00433E5A">
        <w:rPr>
          <w:rFonts w:ascii="Times New Roman" w:hAnsi="Times New Roman" w:cs="Times New Roman"/>
          <w:sz w:val="20"/>
          <w:szCs w:val="20"/>
        </w:rPr>
        <w:t>8.213</w:t>
      </w:r>
      <w:r w:rsidR="00814D49">
        <w:rPr>
          <w:rFonts w:ascii="Times New Roman" w:hAnsi="Times New Roman" w:cs="Times New Roman"/>
          <w:sz w:val="20"/>
          <w:szCs w:val="20"/>
        </w:rPr>
        <w:t xml:space="preserve"> for HARQ feedback timing</w:t>
      </w:r>
      <w:r w:rsidR="00433E5A">
        <w:rPr>
          <w:rFonts w:ascii="Times New Roman" w:hAnsi="Times New Roman" w:cs="Times New Roman"/>
          <w:sz w:val="20"/>
          <w:szCs w:val="20"/>
        </w:rPr>
        <w:t xml:space="preserve">. </w:t>
      </w:r>
      <w:r w:rsidR="004B48CD">
        <w:rPr>
          <w:rFonts w:ascii="Times New Roman" w:hAnsi="Times New Roman" w:cs="Times New Roman"/>
          <w:sz w:val="20"/>
          <w:szCs w:val="20"/>
        </w:rPr>
        <w:t>For both cases,</w:t>
      </w:r>
      <w:r w:rsidR="00433E5A">
        <w:rPr>
          <w:rFonts w:ascii="Times New Roman" w:hAnsi="Times New Roman" w:cs="Times New Roman"/>
          <w:sz w:val="20"/>
          <w:szCs w:val="20"/>
        </w:rPr>
        <w:t xml:space="preserve"> the same </w:t>
      </w:r>
      <w:r w:rsidR="00814D49">
        <w:rPr>
          <w:rFonts w:ascii="Times New Roman" w:hAnsi="Times New Roman" w:cs="Times New Roman"/>
          <w:sz w:val="20"/>
          <w:szCs w:val="20"/>
        </w:rPr>
        <w:t xml:space="preserve">design </w:t>
      </w:r>
      <w:r w:rsidR="00433E5A">
        <w:rPr>
          <w:rFonts w:ascii="Times New Roman" w:hAnsi="Times New Roman" w:cs="Times New Roman"/>
          <w:sz w:val="20"/>
          <w:szCs w:val="20"/>
        </w:rPr>
        <w:t xml:space="preserve">can be reused as </w:t>
      </w:r>
      <w:r w:rsidR="004B48CD">
        <w:rPr>
          <w:rFonts w:ascii="Times New Roman" w:hAnsi="Times New Roman" w:cs="Times New Roman"/>
          <w:sz w:val="20"/>
          <w:szCs w:val="20"/>
        </w:rPr>
        <w:t xml:space="preserve">NW scheduler can suitably handle </w:t>
      </w:r>
      <w:r w:rsidR="00433E5A">
        <w:rPr>
          <w:rFonts w:ascii="Times New Roman" w:hAnsi="Times New Roman" w:cs="Times New Roman"/>
          <w:sz w:val="20"/>
          <w:szCs w:val="20"/>
        </w:rPr>
        <w:t>UEs</w:t>
      </w:r>
      <w:r w:rsidR="00814D49">
        <w:rPr>
          <w:rFonts w:ascii="Times New Roman" w:hAnsi="Times New Roman" w:cs="Times New Roman"/>
          <w:sz w:val="20"/>
          <w:szCs w:val="20"/>
        </w:rPr>
        <w:t xml:space="preserve"> </w:t>
      </w:r>
      <w:r w:rsidR="004B48CD">
        <w:rPr>
          <w:rFonts w:ascii="Times New Roman" w:hAnsi="Times New Roman" w:cs="Times New Roman"/>
          <w:sz w:val="20"/>
          <w:szCs w:val="20"/>
        </w:rPr>
        <w:t>configured with the</w:t>
      </w:r>
      <w:r w:rsidR="00814D49">
        <w:rPr>
          <w:rFonts w:ascii="Times New Roman" w:hAnsi="Times New Roman" w:cs="Times New Roman"/>
          <w:sz w:val="20"/>
          <w:szCs w:val="20"/>
        </w:rPr>
        <w:t xml:space="preserve"> slot offset</w:t>
      </w:r>
      <w:r w:rsidR="00433E5A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1896">
        <w:rPr>
          <w:rFonts w:ascii="Times New Roman" w:hAnsi="Times New Roman" w:cs="Times New Roman"/>
          <w:sz w:val="20"/>
          <w:szCs w:val="20"/>
        </w:rPr>
        <w:t>No additional changes are made to RAN1 specs to reflect the presence of the slot offset. i.e., the time difference between serving cells is handled via NW implementation</w:t>
      </w:r>
      <w:r w:rsidR="004B48CD">
        <w:rPr>
          <w:rFonts w:ascii="Times New Roman" w:hAnsi="Times New Roman" w:cs="Times New Roman"/>
          <w:sz w:val="20"/>
          <w:szCs w:val="20"/>
        </w:rPr>
        <w:t>.</w:t>
      </w:r>
    </w:p>
    <w:p w14:paraId="4DFF174C" w14:textId="77777777" w:rsidR="00B218E9" w:rsidRPr="00B218E9" w:rsidRDefault="00B218E9" w:rsidP="00B218E9">
      <w:pPr>
        <w:keepNext/>
        <w:tabs>
          <w:tab w:val="left" w:pos="1134"/>
        </w:tabs>
        <w:spacing w:before="240" w:after="60" w:line="240" w:lineRule="auto"/>
        <w:ind w:left="567" w:hanging="567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B218E9">
        <w:rPr>
          <w:rFonts w:ascii="Helvetica" w:eastAsia="MS Mincho" w:hAnsi="Helvetica" w:cs="Arial"/>
          <w:b/>
          <w:bCs/>
          <w:kern w:val="32"/>
          <w:sz w:val="28"/>
          <w:szCs w:val="32"/>
        </w:rPr>
        <w:t>Conclusion</w:t>
      </w:r>
    </w:p>
    <w:p w14:paraId="5AC62863" w14:textId="66A83FAE" w:rsidR="00F174C9" w:rsidRDefault="00F174C9" w:rsidP="00B218E9">
      <w:pPr>
        <w:spacing w:after="120" w:line="240" w:lineRule="auto"/>
        <w:jc w:val="both"/>
        <w:rPr>
          <w:rFonts w:ascii="Times New Roman" w:eastAsia="MS Mincho" w:hAnsi="Times New Roman" w:cs="Times New Roman"/>
          <w:sz w:val="20"/>
          <w:szCs w:val="24"/>
        </w:rPr>
      </w:pPr>
      <w:r>
        <w:rPr>
          <w:rFonts w:ascii="Times New Roman" w:eastAsia="MS Mincho" w:hAnsi="Times New Roman" w:cs="Times New Roman"/>
          <w:sz w:val="20"/>
          <w:szCs w:val="24"/>
        </w:rPr>
        <w:t xml:space="preserve">In this document we discuss the working assumption made on inter-band CA with unaligned frame boundary and </w:t>
      </w:r>
      <w:r w:rsidR="009B1296">
        <w:rPr>
          <w:rFonts w:ascii="Times New Roman" w:eastAsia="MS Mincho" w:hAnsi="Times New Roman" w:cs="Times New Roman"/>
          <w:sz w:val="20"/>
          <w:szCs w:val="24"/>
        </w:rPr>
        <w:t>propose</w:t>
      </w:r>
      <w:r>
        <w:rPr>
          <w:rFonts w:ascii="Times New Roman" w:eastAsia="MS Mincho" w:hAnsi="Times New Roman" w:cs="Times New Roman"/>
          <w:sz w:val="20"/>
          <w:szCs w:val="24"/>
        </w:rPr>
        <w:t xml:space="preserve"> the following </w:t>
      </w:r>
      <w:r w:rsidR="00E0067F">
        <w:rPr>
          <w:rFonts w:ascii="Times New Roman" w:eastAsia="MS Mincho" w:hAnsi="Times New Roman" w:cs="Times New Roman"/>
          <w:sz w:val="20"/>
          <w:szCs w:val="24"/>
        </w:rPr>
        <w:t xml:space="preserve">: </w:t>
      </w:r>
    </w:p>
    <w:p w14:paraId="5244E304" w14:textId="0D0B99F6" w:rsidR="009B1296" w:rsidRPr="000A2A1E" w:rsidRDefault="009B1296" w:rsidP="009B129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0A2A1E">
        <w:rPr>
          <w:rFonts w:ascii="Times New Roman" w:hAnsi="Times New Roman" w:cs="Times New Roman"/>
          <w:b/>
          <w:sz w:val="20"/>
          <w:szCs w:val="20"/>
        </w:rPr>
        <w:t xml:space="preserve">Following </w:t>
      </w:r>
      <w:r>
        <w:rPr>
          <w:rFonts w:ascii="Times New Roman" w:hAnsi="Times New Roman" w:cs="Times New Roman"/>
          <w:b/>
          <w:sz w:val="20"/>
          <w:szCs w:val="20"/>
        </w:rPr>
        <w:t>updates (in red)</w:t>
      </w:r>
      <w:r w:rsidRPr="000A2A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B48CD">
        <w:rPr>
          <w:rFonts w:ascii="Times New Roman" w:hAnsi="Times New Roman" w:cs="Times New Roman"/>
          <w:b/>
          <w:sz w:val="20"/>
          <w:szCs w:val="20"/>
        </w:rPr>
        <w:t>need to be clarified (or added)</w:t>
      </w:r>
      <w:r>
        <w:rPr>
          <w:rFonts w:ascii="Times New Roman" w:hAnsi="Times New Roman" w:cs="Times New Roman"/>
          <w:b/>
          <w:sz w:val="20"/>
          <w:szCs w:val="20"/>
        </w:rPr>
        <w:t xml:space="preserve"> for</w:t>
      </w:r>
      <w:r w:rsidRPr="000A2A1E">
        <w:rPr>
          <w:rFonts w:ascii="Times New Roman" w:hAnsi="Times New Roman" w:cs="Times New Roman"/>
          <w:b/>
          <w:sz w:val="20"/>
          <w:szCs w:val="20"/>
        </w:rPr>
        <w:t xml:space="preserve"> the WA made in the email discussion [98b-NR-25]</w:t>
      </w:r>
    </w:p>
    <w:p w14:paraId="37C5F322" w14:textId="77777777" w:rsidR="009B1296" w:rsidRPr="001A6616" w:rsidRDefault="009B1296" w:rsidP="009B1296">
      <w:pPr>
        <w:pStyle w:val="ListParagraph"/>
        <w:numPr>
          <w:ilvl w:val="0"/>
          <w:numId w:val="12"/>
        </w:numPr>
        <w:rPr>
          <w:b/>
          <w:szCs w:val="20"/>
        </w:rPr>
      </w:pPr>
      <w:r w:rsidRPr="001A6616">
        <w:rPr>
          <w:b/>
          <w:szCs w:val="20"/>
        </w:rPr>
        <w:t xml:space="preserve">For slot offset N, the beginning of slot #0 of the CC with lower SCS (or </w:t>
      </w:r>
      <w:proofErr w:type="spellStart"/>
      <w:r w:rsidRPr="001A6616">
        <w:rPr>
          <w:b/>
          <w:szCs w:val="20"/>
        </w:rPr>
        <w:t>PCell</w:t>
      </w:r>
      <w:proofErr w:type="spellEnd"/>
      <w:r w:rsidRPr="001A6616">
        <w:rPr>
          <w:b/>
          <w:szCs w:val="20"/>
        </w:rPr>
        <w:t>/</w:t>
      </w:r>
      <w:proofErr w:type="spellStart"/>
      <w:r w:rsidRPr="001A6616">
        <w:rPr>
          <w:b/>
          <w:szCs w:val="20"/>
        </w:rPr>
        <w:t>PScell</w:t>
      </w:r>
      <w:proofErr w:type="spellEnd"/>
      <w:r w:rsidRPr="001A6616">
        <w:rPr>
          <w:b/>
          <w:szCs w:val="20"/>
        </w:rPr>
        <w:t xml:space="preserve"> for equal SCS) coincides with </w:t>
      </w:r>
      <w:r w:rsidRPr="001A6616">
        <w:rPr>
          <w:b/>
          <w:color w:val="FF0000"/>
          <w:szCs w:val="20"/>
          <w:u w:val="single"/>
        </w:rPr>
        <w:t xml:space="preserve">the beginning </w:t>
      </w:r>
      <w:r>
        <w:rPr>
          <w:b/>
          <w:color w:val="FF0000"/>
          <w:szCs w:val="20"/>
          <w:u w:val="single"/>
        </w:rPr>
        <w:t xml:space="preserve">of </w:t>
      </w:r>
      <w:r w:rsidRPr="001A6616">
        <w:rPr>
          <w:b/>
          <w:szCs w:val="20"/>
        </w:rPr>
        <w:t>slot #(</w:t>
      </w:r>
      <w:proofErr w:type="spellStart"/>
      <w:r w:rsidRPr="001A6616">
        <w:rPr>
          <w:b/>
          <w:szCs w:val="20"/>
        </w:rPr>
        <w:t>qN</w:t>
      </w:r>
      <w:proofErr w:type="spellEnd"/>
      <w:r w:rsidRPr="001A6616">
        <w:rPr>
          <w:b/>
          <w:szCs w:val="20"/>
        </w:rPr>
        <w:t xml:space="preserve"> mod M) of the CC with higher SCS (or </w:t>
      </w:r>
      <w:proofErr w:type="spellStart"/>
      <w:r w:rsidRPr="001A6616">
        <w:rPr>
          <w:b/>
          <w:szCs w:val="20"/>
        </w:rPr>
        <w:t>SCell</w:t>
      </w:r>
      <w:proofErr w:type="spellEnd"/>
      <w:r w:rsidRPr="001A6616">
        <w:rPr>
          <w:b/>
          <w:szCs w:val="20"/>
        </w:rPr>
        <w:t xml:space="preserve"> for equal SCS) </w:t>
      </w:r>
    </w:p>
    <w:p w14:paraId="400D41A8" w14:textId="77777777" w:rsidR="009B1296" w:rsidRDefault="009B1296" w:rsidP="009B1296">
      <w:pPr>
        <w:pStyle w:val="ListParagraph"/>
        <w:numPr>
          <w:ilvl w:val="0"/>
          <w:numId w:val="12"/>
        </w:numPr>
        <w:rPr>
          <w:b/>
          <w:szCs w:val="20"/>
        </w:rPr>
      </w:pPr>
      <w:r w:rsidRPr="000A2A1E">
        <w:rPr>
          <w:b/>
          <w:szCs w:val="20"/>
        </w:rPr>
        <w:t xml:space="preserve">q = -1, if </w:t>
      </w:r>
      <w:r w:rsidRPr="000A2A1E">
        <w:rPr>
          <w:b/>
          <w:color w:val="FF0000"/>
          <w:szCs w:val="20"/>
          <w:u w:val="single"/>
        </w:rPr>
        <w:t>lowest</w:t>
      </w:r>
      <w:r w:rsidRPr="000A2A1E">
        <w:rPr>
          <w:b/>
          <w:color w:val="FF0000"/>
          <w:szCs w:val="20"/>
        </w:rPr>
        <w:t xml:space="preserve"> </w:t>
      </w:r>
      <w:r w:rsidRPr="000A2A1E">
        <w:rPr>
          <w:b/>
          <w:szCs w:val="20"/>
        </w:rPr>
        <w:t xml:space="preserve">SCS of </w:t>
      </w:r>
      <w:proofErr w:type="spellStart"/>
      <w:r w:rsidRPr="000A2A1E">
        <w:rPr>
          <w:b/>
          <w:szCs w:val="20"/>
        </w:rPr>
        <w:t>PCell</w:t>
      </w:r>
      <w:proofErr w:type="spellEnd"/>
      <w:r w:rsidRPr="000A2A1E">
        <w:rPr>
          <w:b/>
          <w:szCs w:val="20"/>
        </w:rPr>
        <w:t>/</w:t>
      </w:r>
      <w:proofErr w:type="spellStart"/>
      <w:r w:rsidRPr="000A2A1E">
        <w:rPr>
          <w:b/>
          <w:szCs w:val="20"/>
        </w:rPr>
        <w:t>PScell</w:t>
      </w:r>
      <w:proofErr w:type="spellEnd"/>
      <w:r w:rsidRPr="000A2A1E">
        <w:rPr>
          <w:b/>
          <w:szCs w:val="20"/>
        </w:rPr>
        <w:t xml:space="preserve"> is smaller than or equal to </w:t>
      </w:r>
      <w:r w:rsidRPr="000A2A1E">
        <w:rPr>
          <w:b/>
          <w:color w:val="FF0000"/>
          <w:szCs w:val="20"/>
          <w:u w:val="single"/>
        </w:rPr>
        <w:t>lowest</w:t>
      </w:r>
      <w:r w:rsidRPr="000A2A1E">
        <w:rPr>
          <w:b/>
          <w:color w:val="FF0000"/>
          <w:szCs w:val="20"/>
        </w:rPr>
        <w:t xml:space="preserve"> </w:t>
      </w:r>
      <w:r w:rsidRPr="000A2A1E">
        <w:rPr>
          <w:b/>
          <w:szCs w:val="20"/>
        </w:rPr>
        <w:t xml:space="preserve">SCS of </w:t>
      </w:r>
      <w:proofErr w:type="spellStart"/>
      <w:r w:rsidRPr="000A2A1E">
        <w:rPr>
          <w:b/>
          <w:szCs w:val="20"/>
        </w:rPr>
        <w:t>SCell</w:t>
      </w:r>
      <w:proofErr w:type="spellEnd"/>
    </w:p>
    <w:p w14:paraId="0DFE3662" w14:textId="77777777" w:rsidR="009B1296" w:rsidRDefault="009B1296" w:rsidP="00B218E9">
      <w:pPr>
        <w:spacing w:after="120" w:line="240" w:lineRule="auto"/>
        <w:jc w:val="both"/>
        <w:rPr>
          <w:rFonts w:ascii="Times New Roman" w:eastAsia="MS Mincho" w:hAnsi="Times New Roman" w:cs="Times New Roman"/>
          <w:sz w:val="20"/>
          <w:szCs w:val="24"/>
        </w:rPr>
      </w:pPr>
    </w:p>
    <w:p w14:paraId="7BF80CFC" w14:textId="77777777" w:rsidR="00F174C9" w:rsidRDefault="00F174C9" w:rsidP="00B218E9">
      <w:pPr>
        <w:spacing w:after="120" w:line="240" w:lineRule="auto"/>
        <w:jc w:val="both"/>
        <w:rPr>
          <w:rFonts w:ascii="Times New Roman" w:eastAsia="MS Mincho" w:hAnsi="Times New Roman" w:cs="Times New Roman"/>
          <w:sz w:val="20"/>
          <w:szCs w:val="24"/>
        </w:rPr>
      </w:pPr>
    </w:p>
    <w:p w14:paraId="0CE5142C" w14:textId="77777777" w:rsidR="007F0C51" w:rsidRPr="00B218E9" w:rsidRDefault="007F0C51" w:rsidP="00B218E9">
      <w:pPr>
        <w:spacing w:after="120" w:line="240" w:lineRule="auto"/>
        <w:jc w:val="both"/>
        <w:rPr>
          <w:rFonts w:ascii="Times New Roman" w:eastAsia="MS Mincho" w:hAnsi="Times New Roman" w:cs="Times New Roman"/>
          <w:b/>
          <w:sz w:val="20"/>
          <w:szCs w:val="24"/>
          <w:u w:val="single"/>
        </w:rPr>
      </w:pPr>
    </w:p>
    <w:p w14:paraId="4B439B39" w14:textId="77777777" w:rsidR="00B218E9" w:rsidRPr="00B218E9" w:rsidRDefault="00B218E9" w:rsidP="00B21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u w:val="single"/>
        </w:rPr>
      </w:pPr>
    </w:p>
    <w:p w14:paraId="7BA6BF3B" w14:textId="77777777" w:rsidR="00B218E9" w:rsidRPr="00B218E9" w:rsidRDefault="00B218E9" w:rsidP="00B218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</w:rPr>
      </w:pPr>
    </w:p>
    <w:p w14:paraId="47033F5B" w14:textId="77777777" w:rsidR="00535BE6" w:rsidRDefault="00535BE6"/>
    <w:sectPr w:rsidR="00535BE6" w:rsidSect="0003497E">
      <w:headerReference w:type="default" r:id="rId11"/>
      <w:footerReference w:type="default" r:id="rId12"/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97E15" w14:textId="77777777" w:rsidR="000158BC" w:rsidRDefault="000158BC">
      <w:pPr>
        <w:spacing w:after="0" w:line="240" w:lineRule="auto"/>
      </w:pPr>
      <w:r>
        <w:separator/>
      </w:r>
    </w:p>
  </w:endnote>
  <w:endnote w:type="continuationSeparator" w:id="0">
    <w:p w14:paraId="16E6EBC2" w14:textId="77777777" w:rsidR="000158BC" w:rsidRDefault="0001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56336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C636C" w14:textId="77777777" w:rsidR="00C415AE" w:rsidRDefault="00B218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9F17C1" w14:textId="77777777" w:rsidR="00C415AE" w:rsidRDefault="00122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F01C8" w14:textId="77777777" w:rsidR="000158BC" w:rsidRDefault="000158BC">
      <w:pPr>
        <w:spacing w:after="0" w:line="240" w:lineRule="auto"/>
      </w:pPr>
      <w:r>
        <w:separator/>
      </w:r>
    </w:p>
  </w:footnote>
  <w:footnote w:type="continuationSeparator" w:id="0">
    <w:p w14:paraId="07D4381E" w14:textId="77777777" w:rsidR="000158BC" w:rsidRDefault="0001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EBCB6" w14:textId="77777777" w:rsidR="00C415AE" w:rsidRDefault="00122616" w:rsidP="00C415A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42907"/>
    <w:multiLevelType w:val="hybridMultilevel"/>
    <w:tmpl w:val="3EBE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63FBF"/>
    <w:multiLevelType w:val="multilevel"/>
    <w:tmpl w:val="6A8C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067DDF"/>
    <w:multiLevelType w:val="hybridMultilevel"/>
    <w:tmpl w:val="68248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EE2455"/>
    <w:multiLevelType w:val="hybridMultilevel"/>
    <w:tmpl w:val="AB0A4FA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D22E0"/>
    <w:multiLevelType w:val="hybridMultilevel"/>
    <w:tmpl w:val="4DB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F29CA"/>
    <w:multiLevelType w:val="multilevel"/>
    <w:tmpl w:val="E700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38010C"/>
    <w:multiLevelType w:val="multilevel"/>
    <w:tmpl w:val="BE5E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4A72954"/>
    <w:multiLevelType w:val="hybridMultilevel"/>
    <w:tmpl w:val="7D18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7656A"/>
    <w:multiLevelType w:val="hybridMultilevel"/>
    <w:tmpl w:val="C45C9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9006C"/>
    <w:multiLevelType w:val="hybridMultilevel"/>
    <w:tmpl w:val="C41E2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56EDE"/>
    <w:multiLevelType w:val="multilevel"/>
    <w:tmpl w:val="1996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E9"/>
    <w:rsid w:val="000158BC"/>
    <w:rsid w:val="00051896"/>
    <w:rsid w:val="000614EC"/>
    <w:rsid w:val="000A2A1E"/>
    <w:rsid w:val="00122616"/>
    <w:rsid w:val="00135FAF"/>
    <w:rsid w:val="00156A48"/>
    <w:rsid w:val="001A6616"/>
    <w:rsid w:val="00306465"/>
    <w:rsid w:val="00313A1D"/>
    <w:rsid w:val="00346E65"/>
    <w:rsid w:val="00387440"/>
    <w:rsid w:val="00423E7B"/>
    <w:rsid w:val="00433E5A"/>
    <w:rsid w:val="00495688"/>
    <w:rsid w:val="004B48CD"/>
    <w:rsid w:val="00535BE6"/>
    <w:rsid w:val="005E0E19"/>
    <w:rsid w:val="00682872"/>
    <w:rsid w:val="00723360"/>
    <w:rsid w:val="007466AF"/>
    <w:rsid w:val="007F0C51"/>
    <w:rsid w:val="00814D49"/>
    <w:rsid w:val="0086789B"/>
    <w:rsid w:val="008951CE"/>
    <w:rsid w:val="00982EF9"/>
    <w:rsid w:val="009B1296"/>
    <w:rsid w:val="00B218E9"/>
    <w:rsid w:val="00B45855"/>
    <w:rsid w:val="00C06CBA"/>
    <w:rsid w:val="00CB5ABF"/>
    <w:rsid w:val="00CC7B3C"/>
    <w:rsid w:val="00D62B70"/>
    <w:rsid w:val="00E0067F"/>
    <w:rsid w:val="00E72225"/>
    <w:rsid w:val="00EE7BE9"/>
    <w:rsid w:val="00F174C9"/>
    <w:rsid w:val="00F5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88C97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8E9"/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18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218E9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218E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218E9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8E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174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4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4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4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4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2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74D8F9-C4A8-4235-B6AB-46107C9BF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441BC-0655-4776-87AE-2149502CE3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83130-73FD-439A-8D93-686E23489042}">
  <ds:schemaRefs>
    <ds:schemaRef ds:uri="http://schemas.microsoft.com/office/2006/metadata/properties"/>
    <ds:schemaRef ds:uri="http://purl.org/dc/dcmitype/"/>
    <ds:schemaRef ds:uri="2f282d3b-eb4a-4b09-b61f-b9593442e286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2019-11-09T04:32:00Z</dcterms:created>
  <dcterms:modified xsi:type="dcterms:W3CDTF">2019-11-09T04:32:00Z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